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 июля 2013 года N 396-74</w:t>
      </w:r>
      <w:r>
        <w:rPr>
          <w:rFonts w:ascii="Calibri" w:hAnsi="Calibri" w:cs="Calibri"/>
        </w:rPr>
        <w:br/>
      </w:r>
    </w:p>
    <w:p w:rsidR="00FB5390" w:rsidRDefault="00FB5390" w:rsidP="00FB539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САНКТ-ПЕТЕРБУРГА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ЗАКОН САНКТ-ПЕТЕРБУРГА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ГРАДОСТРОИТЕЛЬНОЙ ДЕЯТЕЛЬНОСТИ В САНКТ-ПЕТЕРБУРГЕ"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ЧАСТИ ПРАВООТНОШЕНИЙ, КАСАЮЩИХСЯ </w:t>
      </w:r>
      <w:proofErr w:type="gramStart"/>
      <w:r>
        <w:rPr>
          <w:rFonts w:ascii="Calibri" w:hAnsi="Calibri" w:cs="Calibri"/>
          <w:b/>
          <w:bCs/>
        </w:rPr>
        <w:t>САМОВОЛЬНОГО</w:t>
      </w:r>
      <w:proofErr w:type="gramEnd"/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СТРОИТЕЛЬСТВА, САМОВОЛЬНОЙ РЕКОНСТРУКЦИИ,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РАЗРЕШЕНИЯ НА СТРОИТЕЛЬСТВО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Законодательным Собранием Санкт-Петербурга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19 июня 2013 года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28 октября 2009 года N 508-100 "О градостроительной деятельности в Санкт-Петербурге" следующие изменения: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5" w:history="1">
        <w:r>
          <w:rPr>
            <w:rFonts w:ascii="Calibri" w:hAnsi="Calibri" w:cs="Calibri"/>
            <w:color w:val="0000FF"/>
          </w:rPr>
          <w:t>статье 3</w:t>
        </w:r>
      </w:hyperlink>
      <w:r>
        <w:rPr>
          <w:rFonts w:ascii="Calibri" w:hAnsi="Calibri" w:cs="Calibri"/>
        </w:rPr>
        <w:t>: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подпунктами 17-1 и 17-2 следующего содержания: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"17-1) выявление и предотвращение деятельности по самовольному строительству, самовольной реконструкции объектов капитального строительства на территории Санкт-Петербурга;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17-2) организация демонтажа самовольных построек, частей объектов капитального строительства, возникших в результате самовольной реконструкции, на земельных участках, находящихся в собственности Санкт-Петербурга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абзац двадцатый</w:t>
        </w:r>
      </w:hyperlink>
      <w:r>
        <w:rPr>
          <w:rFonts w:ascii="Calibri" w:hAnsi="Calibri" w:cs="Calibri"/>
        </w:rPr>
        <w:t xml:space="preserve"> после слов "принимается решение об уничтожении указанных объектов недвижимости, за исключением" дополнить словами "зданий, являющихся историческими в соответствии с законом Санкт-Петербурга, и";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примечанием следующего содержания: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"Примечание. Для целей настоящего Закона Санкт-Петербурга под самовольным строительством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самовольной реконструкцией понимается строительство или реконструкция объектов капитального строительства на земельном участке, не отведенном для этих целей в порядке, установленном законом и иными правовыми актами, либо строительство или реконструкция объектов капитального строительства без получения необходимых разрешений или с существенным нарушением градостроительных и строительных норм и правил.".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9" w:history="1">
        <w:r>
          <w:rPr>
            <w:rFonts w:ascii="Calibri" w:hAnsi="Calibri" w:cs="Calibri"/>
            <w:color w:val="0000FF"/>
          </w:rPr>
          <w:t>Статью 14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14. Выдача разрешения на строительство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случаях, указанных в </w:t>
      </w:r>
      <w:hyperlink r:id="rId10" w:history="1">
        <w:r>
          <w:rPr>
            <w:rFonts w:ascii="Calibri" w:hAnsi="Calibri" w:cs="Calibri"/>
            <w:color w:val="0000FF"/>
          </w:rPr>
          <w:t>части 4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разрешение на строительство в отношении всех этапов строительства, реконструкции объектов капитального строительства, включая работы по демонтажу объектов капитального строительства или их частей, по изменению объектов капитального строительства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их частей, если такие изменения затрагивают конструктивные и другие характеристики их надежности и безопасности или превышают предельные параметры разрешенного строительства, реконструкции, установленные градостроительным регламентом, выдается уполномоченным Правительством Санкт-Петербурга исполнительным органом государственной власти Санкт-Петербурга.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8"/>
      <w:bookmarkEnd w:id="0"/>
      <w:r>
        <w:rPr>
          <w:rFonts w:ascii="Calibri" w:hAnsi="Calibri" w:cs="Calibri"/>
        </w:rPr>
        <w:t xml:space="preserve">2. Выдача указанного в </w:t>
      </w:r>
      <w:hyperlink w:anchor="Par2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разрешения на строительство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подпунктом 5 части 17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не требуется в случае: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демонтажа (сноса) самовольной постройки, являющейся объектом капитального строительства, этажностью не более трех этажей, без последующего строительства;</w:t>
      </w:r>
      <w:proofErr w:type="gramEnd"/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демонтажа частей объектов капитального строительства, возникших в результате самовольной реконструкции,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демонтажа (сноса) многоквартирного дома, признанного аварийным и подлежащим сносу в установленном порядке, если этажность указанного дома не превышает трех этажей, за исключением зданий, являющихся историческими в соответствии с законом Санкт-Петербурга, и объектов культурного наследия (выявленных объектов культурного наследия) без последующего строительства.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 течение одного дня со дня выдачи указанного в </w:t>
      </w:r>
      <w:hyperlink w:anchor="Par2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разрешения на строительство или отказа в выдаче такого разрешения уполномоченный Правительством Санкт-Петербурга исполнительный орган государственной власти Санкт-Петербурга размещает информацию о принятом решении на официальном сайте указанного органа в сети Интернет с указанием сведений в объеме, содержащемся в установленной уполномоченным федеральным органом исполнительной власти форме разрешения на строительство</w:t>
      </w:r>
      <w:proofErr w:type="gramEnd"/>
      <w:r>
        <w:rPr>
          <w:rFonts w:ascii="Calibri" w:hAnsi="Calibri" w:cs="Calibri"/>
        </w:rPr>
        <w:t>, за исключением сведений, составляющих персональные данные.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трех дней со дня выдачи указанного в </w:t>
      </w:r>
      <w:hyperlink w:anchor="Par2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разрешения на строительство уполномоченный Правительством Санкт-Петербурга исполнительный орган государственной власти Санкт-Петербурга направляет копию такого разрешения для размещения в региональной информационной системе "</w:t>
      </w:r>
      <w:proofErr w:type="spellStart"/>
      <w:r>
        <w:rPr>
          <w:rFonts w:ascii="Calibri" w:hAnsi="Calibri" w:cs="Calibri"/>
        </w:rPr>
        <w:t>Геоинформационная</w:t>
      </w:r>
      <w:proofErr w:type="spellEnd"/>
      <w:r>
        <w:rPr>
          <w:rFonts w:ascii="Calibri" w:hAnsi="Calibri" w:cs="Calibri"/>
        </w:rPr>
        <w:t xml:space="preserve"> система Санкт-Петербурга", содержащей сведения об объектах недвижимости и объектах землеустройства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Санкт-Петербурга вступает в силу через 10 дней после дня его официального опубликования.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Г.С.Полтавченко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Санкт-Петербург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июля 2013 года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396-74</w:t>
      </w: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5390" w:rsidRDefault="00FB5390" w:rsidP="00FB5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0DCC" w:rsidRDefault="00850DCC"/>
    <w:sectPr w:rsidR="00850DCC" w:rsidSect="00851F4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390"/>
    <w:rsid w:val="00000219"/>
    <w:rsid w:val="0000757A"/>
    <w:rsid w:val="00014EBE"/>
    <w:rsid w:val="000262BB"/>
    <w:rsid w:val="0004120A"/>
    <w:rsid w:val="00050312"/>
    <w:rsid w:val="000C456B"/>
    <w:rsid w:val="001144F8"/>
    <w:rsid w:val="00117ECF"/>
    <w:rsid w:val="00135255"/>
    <w:rsid w:val="001417B6"/>
    <w:rsid w:val="00155DDF"/>
    <w:rsid w:val="00157932"/>
    <w:rsid w:val="00192360"/>
    <w:rsid w:val="001C3CDA"/>
    <w:rsid w:val="001E3512"/>
    <w:rsid w:val="001E4E5A"/>
    <w:rsid w:val="001E7147"/>
    <w:rsid w:val="001F7AAB"/>
    <w:rsid w:val="00210819"/>
    <w:rsid w:val="00225A69"/>
    <w:rsid w:val="00247D68"/>
    <w:rsid w:val="00254166"/>
    <w:rsid w:val="00272317"/>
    <w:rsid w:val="00272718"/>
    <w:rsid w:val="0028507F"/>
    <w:rsid w:val="002A7ECC"/>
    <w:rsid w:val="002C7DCB"/>
    <w:rsid w:val="00305EF9"/>
    <w:rsid w:val="003108D3"/>
    <w:rsid w:val="00320D06"/>
    <w:rsid w:val="00344BE7"/>
    <w:rsid w:val="00345E87"/>
    <w:rsid w:val="003541B4"/>
    <w:rsid w:val="003C0DED"/>
    <w:rsid w:val="00455AD2"/>
    <w:rsid w:val="00456274"/>
    <w:rsid w:val="004E33DB"/>
    <w:rsid w:val="004F5572"/>
    <w:rsid w:val="00531F81"/>
    <w:rsid w:val="00550056"/>
    <w:rsid w:val="0055277A"/>
    <w:rsid w:val="00585F07"/>
    <w:rsid w:val="00593DE0"/>
    <w:rsid w:val="005B3A30"/>
    <w:rsid w:val="005D5F15"/>
    <w:rsid w:val="0060585C"/>
    <w:rsid w:val="0062584A"/>
    <w:rsid w:val="00672F8B"/>
    <w:rsid w:val="006736B3"/>
    <w:rsid w:val="00682ACE"/>
    <w:rsid w:val="00686FE2"/>
    <w:rsid w:val="00697877"/>
    <w:rsid w:val="006A27B7"/>
    <w:rsid w:val="006A5AF0"/>
    <w:rsid w:val="006B785C"/>
    <w:rsid w:val="006F2D17"/>
    <w:rsid w:val="006F3351"/>
    <w:rsid w:val="007879FB"/>
    <w:rsid w:val="007955B7"/>
    <w:rsid w:val="007F0A95"/>
    <w:rsid w:val="007F11C4"/>
    <w:rsid w:val="00803A78"/>
    <w:rsid w:val="008235A7"/>
    <w:rsid w:val="00830F7F"/>
    <w:rsid w:val="00847BD8"/>
    <w:rsid w:val="00850DCC"/>
    <w:rsid w:val="008746C2"/>
    <w:rsid w:val="008A2727"/>
    <w:rsid w:val="0090183D"/>
    <w:rsid w:val="00913D62"/>
    <w:rsid w:val="009254CA"/>
    <w:rsid w:val="009349A2"/>
    <w:rsid w:val="009762AD"/>
    <w:rsid w:val="00994EB1"/>
    <w:rsid w:val="009A57C6"/>
    <w:rsid w:val="009B41B6"/>
    <w:rsid w:val="009B7F0F"/>
    <w:rsid w:val="009C07AF"/>
    <w:rsid w:val="009F527F"/>
    <w:rsid w:val="00A13EE7"/>
    <w:rsid w:val="00A21C1F"/>
    <w:rsid w:val="00A41F01"/>
    <w:rsid w:val="00A575BC"/>
    <w:rsid w:val="00A74D29"/>
    <w:rsid w:val="00AC1D93"/>
    <w:rsid w:val="00AE340E"/>
    <w:rsid w:val="00AE396B"/>
    <w:rsid w:val="00AE4F6F"/>
    <w:rsid w:val="00B15928"/>
    <w:rsid w:val="00B2327B"/>
    <w:rsid w:val="00B62532"/>
    <w:rsid w:val="00B6439D"/>
    <w:rsid w:val="00BC66BB"/>
    <w:rsid w:val="00BD21F7"/>
    <w:rsid w:val="00C436B3"/>
    <w:rsid w:val="00C97A06"/>
    <w:rsid w:val="00CA3249"/>
    <w:rsid w:val="00CA5257"/>
    <w:rsid w:val="00CE0C37"/>
    <w:rsid w:val="00D14E73"/>
    <w:rsid w:val="00D4068C"/>
    <w:rsid w:val="00D47C55"/>
    <w:rsid w:val="00D85E4A"/>
    <w:rsid w:val="00D93E21"/>
    <w:rsid w:val="00DB013C"/>
    <w:rsid w:val="00DC47E2"/>
    <w:rsid w:val="00DD1028"/>
    <w:rsid w:val="00DD3361"/>
    <w:rsid w:val="00E039BB"/>
    <w:rsid w:val="00E1721E"/>
    <w:rsid w:val="00E5656C"/>
    <w:rsid w:val="00E61017"/>
    <w:rsid w:val="00EA349B"/>
    <w:rsid w:val="00ED22B7"/>
    <w:rsid w:val="00EE12F4"/>
    <w:rsid w:val="00EE3D2A"/>
    <w:rsid w:val="00F279C5"/>
    <w:rsid w:val="00F326BD"/>
    <w:rsid w:val="00F3333F"/>
    <w:rsid w:val="00F520E3"/>
    <w:rsid w:val="00F66EA9"/>
    <w:rsid w:val="00FB5390"/>
    <w:rsid w:val="00FC051D"/>
    <w:rsid w:val="00FC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FBC323FDA669020556B4AC810F59ABFA1119FCC93DF454BDC5025F104C2DE4531D3F54AFB5D17P936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2FBC323FDA669020556B4AC810F59ABFA1119FCC93DF454BDC5025F104C2DE4531D3F54AFB5C16P930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FBC323FDA669020556B4AC810F59ABFA1119FCC93DF454BDC5025F104C2DE4531D3F54AFB5D17P936F" TargetMode="External"/><Relationship Id="rId11" Type="http://schemas.openxmlformats.org/officeDocument/2006/relationships/hyperlink" Target="consultantplus://offline/ref=012FBC323FDA66902055745BDD10F59ABFA51D97CD9CDF454BDC5025F104C2DE4531D3F54AFB5511P931F" TargetMode="External"/><Relationship Id="rId5" Type="http://schemas.openxmlformats.org/officeDocument/2006/relationships/hyperlink" Target="consultantplus://offline/ref=012FBC323FDA669020556B4AC810F59ABFA1119FCC93DF454BDC5025F104C2DE4531D3F54AFB5D17P936F" TargetMode="External"/><Relationship Id="rId10" Type="http://schemas.openxmlformats.org/officeDocument/2006/relationships/hyperlink" Target="consultantplus://offline/ref=012FBC323FDA66902055745BDD10F59ABFA51D97CD9CDF454BDC5025F104C2DE4531D3F74BPF3BF" TargetMode="External"/><Relationship Id="rId4" Type="http://schemas.openxmlformats.org/officeDocument/2006/relationships/hyperlink" Target="consultantplus://offline/ref=012FBC323FDA669020556B4AC810F59ABFA1119FCC93DF454BDC5025F1P034F" TargetMode="External"/><Relationship Id="rId9" Type="http://schemas.openxmlformats.org/officeDocument/2006/relationships/hyperlink" Target="consultantplus://offline/ref=012FBC323FDA669020556B4AC810F59ABFA1119FCC93DF454BDC5025F104C2DE4531D3F54AFB5C17P9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potehin</dc:creator>
  <cp:keywords/>
  <dc:description/>
  <cp:lastModifiedBy>potehin</cp:lastModifiedBy>
  <cp:revision>2</cp:revision>
  <dcterms:created xsi:type="dcterms:W3CDTF">2013-07-23T05:54:00Z</dcterms:created>
  <dcterms:modified xsi:type="dcterms:W3CDTF">2013-07-23T05:55:00Z</dcterms:modified>
</cp:coreProperties>
</file>